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24" w:rsidRPr="000A1CE6" w:rsidRDefault="00A04A24" w:rsidP="00A04A24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>ЗВІТ про п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овторне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A04A24" w:rsidRPr="000A1CE6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A04A24" w:rsidRDefault="00A04A24" w:rsidP="00A04A2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10 від 30 червня 2015 року </w:t>
      </w:r>
      <w:r>
        <w:rPr>
          <w:rFonts w:ascii="Times New Roman" w:hAnsi="Times New Roman"/>
          <w:sz w:val="24"/>
          <w:szCs w:val="24"/>
          <w:lang w:val="en-US"/>
        </w:rPr>
        <w:t>LXXIV</w:t>
      </w:r>
      <w:r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затвердження розміру орендної плати за землю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в новій редакції»</w:t>
      </w:r>
    </w:p>
    <w:p w:rsidR="00A04A24" w:rsidRPr="00EF74EB" w:rsidRDefault="00A04A24" w:rsidP="00A04A2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4A24" w:rsidRPr="000A1CE6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A04A24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A04A24" w:rsidRPr="000A1CE6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4A24" w:rsidRPr="000A1CE6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A04A24" w:rsidRDefault="00A04A24" w:rsidP="00A04A2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Нормативне регулювання та удосконалення існуючого в місті механізму визначення ставок річної орендної плати за земельні ділянки;</w:t>
      </w:r>
    </w:p>
    <w:p w:rsidR="00A04A24" w:rsidRDefault="00A04A24" w:rsidP="00A04A24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надходжень до міського бюджету.</w:t>
      </w:r>
    </w:p>
    <w:p w:rsidR="00A04A24" w:rsidRPr="00EF74EB" w:rsidRDefault="00A04A24" w:rsidP="00A04A2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4A24" w:rsidRPr="000A1CE6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A04A24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 2016 року.</w:t>
      </w:r>
    </w:p>
    <w:p w:rsidR="00A04A24" w:rsidRPr="000A1CE6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A04A24" w:rsidRPr="000A1CE6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A04A24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овтор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0A1CE6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A04A24" w:rsidRPr="00EE7087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4A24" w:rsidRPr="000A1CE6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</w:p>
    <w:p w:rsidR="00A04A24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A04A24" w:rsidRPr="00EE7087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4A24" w:rsidRPr="00EF74EB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 w:rsidR="00B06D52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 w:rsidR="00B06D52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 w:rsidR="00B06D52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 w:rsidR="00B06D52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</w:t>
      </w:r>
      <w:proofErr w:type="spellEnd"/>
      <w:r w:rsidR="00B06D52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одержання</w:t>
      </w:r>
      <w:proofErr w:type="spellEnd"/>
      <w:r w:rsidR="00B06D52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даних</w:t>
      </w:r>
      <w:proofErr w:type="spellEnd"/>
    </w:p>
    <w:p w:rsidR="00A04A24" w:rsidRDefault="00A04A24" w:rsidP="00A04A24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мету прийняття регуляторного акта для відстеження його результативності визначено такі показники як: отримання до бюджету міста Дергачі відповідних надходжень, удосконалення існуючого в місті механізму визначення ставок річної орендної плати за земельні ділянки..</w:t>
      </w:r>
    </w:p>
    <w:p w:rsidR="00A04A24" w:rsidRPr="00EB59D6" w:rsidRDefault="00A04A24" w:rsidP="00A04A2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A04A24" w:rsidRPr="00EE7087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A04A24" w:rsidRDefault="00A04A24" w:rsidP="00A04A24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Кількісні показники – розмір надходжень від сплати до міського бюджету:</w:t>
      </w:r>
    </w:p>
    <w:p w:rsidR="00A04A24" w:rsidRDefault="00A04A24" w:rsidP="00A04A24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Серпень – грудень 2015 року </w:t>
      </w:r>
      <w:r w:rsidR="00154694">
        <w:rPr>
          <w:rFonts w:ascii="Times New Roman" w:hAnsi="Times New Roman"/>
          <w:sz w:val="24"/>
          <w:szCs w:val="24"/>
          <w:lang w:val="uk-UA"/>
        </w:rPr>
        <w:t>– 1 474 805 грн. 84 коп.;</w:t>
      </w:r>
    </w:p>
    <w:p w:rsidR="00A04A24" w:rsidRDefault="00A04A24" w:rsidP="00A04A24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Січень-листопад 2016 року </w:t>
      </w:r>
      <w:r w:rsidR="00154694">
        <w:rPr>
          <w:rFonts w:ascii="Times New Roman" w:hAnsi="Times New Roman"/>
          <w:sz w:val="24"/>
          <w:szCs w:val="24"/>
          <w:lang w:val="uk-UA"/>
        </w:rPr>
        <w:t xml:space="preserve">   –  4 403 181 грн. 46 коп. </w:t>
      </w:r>
    </w:p>
    <w:p w:rsidR="00F65026" w:rsidRDefault="00F65026" w:rsidP="00F65026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Якісні показники результативності акта – гарантоване забезпечення належними умовами забезпечення життєдіяльності міста.</w:t>
      </w:r>
    </w:p>
    <w:p w:rsidR="00A04A24" w:rsidRPr="000A1CE6" w:rsidRDefault="00A04A24" w:rsidP="00A04A2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 w:rsidR="00B06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цілей</w:t>
      </w:r>
      <w:proofErr w:type="spellEnd"/>
    </w:p>
    <w:p w:rsidR="00A04A24" w:rsidRPr="00D85C3E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зв’язку з прийняттям Рішення № 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  <w:lang w:val="uk-UA"/>
        </w:rPr>
        <w:t xml:space="preserve"> сесії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«Про встановлення плати за землю та затвердження Положення справляння плати за землю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ради» від 30 червня 2016 року, яким  рішення, що відстежується втрачає чинність з 01 січня 2017 року. </w:t>
      </w:r>
    </w:p>
    <w:p w:rsidR="00A04A24" w:rsidRDefault="00A04A24" w:rsidP="00A04A24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1299" w:rsidRDefault="00E81299" w:rsidP="00E81299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A92A4E" w:rsidRPr="00F65026" w:rsidRDefault="00E81299" w:rsidP="00E81299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bookmarkStart w:id="0" w:name="_GoBack"/>
      <w:bookmarkEnd w:id="0"/>
    </w:p>
    <w:sectPr w:rsidR="00A92A4E" w:rsidRPr="00F65026" w:rsidSect="0015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4714C60"/>
    <w:multiLevelType w:val="hybridMultilevel"/>
    <w:tmpl w:val="951A9F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44ADC"/>
    <w:multiLevelType w:val="hybridMultilevel"/>
    <w:tmpl w:val="6222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1B2"/>
    <w:rsid w:val="00154694"/>
    <w:rsid w:val="001573F8"/>
    <w:rsid w:val="008511B2"/>
    <w:rsid w:val="00A04A24"/>
    <w:rsid w:val="00A92A4E"/>
    <w:rsid w:val="00B06D52"/>
    <w:rsid w:val="00E81299"/>
    <w:rsid w:val="00F6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4A2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4A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2016-12-01T08:53:00Z</dcterms:created>
  <dcterms:modified xsi:type="dcterms:W3CDTF">2016-12-06T14:54:00Z</dcterms:modified>
</cp:coreProperties>
</file>